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015383">
        <w:rPr>
          <w:rFonts w:ascii="Garamond" w:hAnsi="Garamond" w:cs="Arial"/>
          <w:b/>
          <w:sz w:val="24"/>
          <w:szCs w:val="24"/>
        </w:rPr>
        <w:t>11</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015383">
        <w:rPr>
          <w:rFonts w:ascii="Garamond" w:hAnsi="Garamond" w:cs="Arial"/>
          <w:sz w:val="24"/>
          <w:szCs w:val="24"/>
        </w:rPr>
        <w:t>11</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015383">
        <w:rPr>
          <w:rFonts w:ascii="Garamond" w:hAnsi="Garamond"/>
          <w:i/>
        </w:rPr>
        <w:t>Raccolta dati su Valle d’Aosta e fumetti: iniziative, collezionisti, librerie specializzate, soggetti esperti</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CF4F1F"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CF4F1F"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015383">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83"/>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9F50CA"/>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CF4F1F"/>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6C125-868D-4833-AC75-E0B09BA9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787</Words>
  <Characters>4490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176</cp:revision>
  <cp:lastPrinted>2013-01-25T09:10:00Z</cp:lastPrinted>
  <dcterms:created xsi:type="dcterms:W3CDTF">2011-11-08T10:13:00Z</dcterms:created>
  <dcterms:modified xsi:type="dcterms:W3CDTF">2014-11-04T14:43:00Z</dcterms:modified>
</cp:coreProperties>
</file>